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108"/>
        <w:tblLayout w:type="fixed"/>
      </w:tblPr>
      <w:tblGrid>
        <w:gridCol w:w="839"/>
        <w:gridCol w:w="280"/>
        <w:gridCol w:w="560"/>
        <w:gridCol w:w="560"/>
        <w:gridCol w:w="1119"/>
        <w:gridCol w:w="3499"/>
        <w:gridCol w:w="3349"/>
      </w:tblGrid>
      <w:tr>
        <w:tc>
          <w:tcPr>
            <w:tcW w:type="dxa" w:w="10206"/>
            <w:gridSpan w:val="7"/>
          </w:tcPr>
          <w:p w14:paraId="07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    </w:t>
            </w:r>
            <w:r>
              <w:rPr>
                <w:b w:val="1"/>
                <w:color w:val="000000"/>
                <w:sz w:val="28"/>
              </w:rPr>
              <w:t>Сводный отчёт</w:t>
            </w:r>
            <w:r>
              <w:rPr>
                <w:b w:val="1"/>
                <w:color w:val="000000"/>
                <w:sz w:val="28"/>
              </w:rPr>
              <w:br/>
            </w:r>
            <w:r>
              <w:rPr>
                <w:b w:val="1"/>
                <w:color w:val="000000"/>
                <w:sz w:val="28"/>
              </w:rPr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>
        <w:tc>
          <w:tcPr>
            <w:tcW w:type="dxa" w:w="10206"/>
            <w:gridSpan w:val="7"/>
          </w:tcPr>
          <w:p w14:paraId="08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9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 Общая информация</w:t>
            </w:r>
          </w:p>
          <w:p w14:paraId="0A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1.1. Регулирующий орган:</w:t>
            </w:r>
          </w:p>
        </w:tc>
      </w:tr>
      <w:tr>
        <w:tc>
          <w:tcPr>
            <w:tcW w:type="dxa" w:w="10206"/>
            <w:gridSpan w:val="7"/>
          </w:tcPr>
          <w:p w14:paraId="0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z w:val="28"/>
              </w:rPr>
              <w:t>архитектуры</w:t>
            </w:r>
            <w:r>
              <w:rPr>
                <w:sz w:val="28"/>
              </w:rPr>
              <w:t xml:space="preserve"> администрации муниципального образования Северский муниципальный район 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0D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E000000">
            <w:pPr>
              <w:pStyle w:val="Style_3"/>
              <w:widowControl w:val="1"/>
              <w:spacing w:after="0" w:before="0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1.2. Вид и наименование проекта муниципального нормативного правового акта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:</w:t>
            </w:r>
          </w:p>
          <w:p w14:paraId="0F000000">
            <w:pPr>
              <w:pStyle w:val="Style_3"/>
              <w:widowControl w:val="1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роект постановления администрации муниципального образования Северский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район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Об утверждении архитектурных требований и типов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ых архитектурных решений внешнего вида нестационарных торговых объектов на территории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</w:p>
          <w:p w14:paraId="1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1.3.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сент</w:t>
            </w:r>
            <w:r>
              <w:rPr>
                <w:sz w:val="28"/>
              </w:rPr>
              <w:t xml:space="preserve">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</w:t>
            </w:r>
          </w:p>
        </w:tc>
      </w:tr>
      <w:tr>
        <w:trPr>
          <w:trHeight w:hRule="atLeast" w:val="156"/>
        </w:trPr>
        <w:tc>
          <w:tcPr>
            <w:tcW w:type="dxa" w:w="2239"/>
            <w:gridSpan w:val="4"/>
          </w:tcPr>
          <w:p w14:paraId="1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967"/>
            <w:gridSpan w:val="3"/>
          </w:tcPr>
          <w:p w14:paraId="13000000">
            <w:pPr>
              <w:widowControl w:val="1"/>
              <w:tabs>
                <w:tab w:leader="none" w:pos="5565" w:val="left"/>
              </w:tabs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2562"/>
        </w:trPr>
        <w:tc>
          <w:tcPr>
            <w:tcW w:type="dxa" w:w="10206"/>
            <w:gridSpan w:val="7"/>
          </w:tcPr>
          <w:p w14:paraId="1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15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отсутствии единого подхода к внешнему виду нестационарных торговых объектов (далее-НТО). Из-за этого на территории Северского муниципального р</w:t>
            </w:r>
            <w:r>
              <w:rPr>
                <w:sz w:val="28"/>
              </w:rPr>
              <w:t xml:space="preserve">айона складывалась ситуация, когда НТО размещались хаотично: предприниматели использовали разные, порой диссонирующие материалы, цвета, формы и конструктивные решения. В результате торговый облик отдельных локаций (улиц, площадей, зон у остановок) становился разрозненным, не вписывался в окружающую застройку и общую среду, что снижало эстетическое качество пространства и могло создавать визуальную дисгармонию. </w:t>
            </w:r>
          </w:p>
          <w:p w14:paraId="16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1.5. Краткое описание целей предлаг</w:t>
            </w:r>
            <w:r>
              <w:rPr>
                <w:sz w:val="28"/>
              </w:rPr>
              <w:t>аемого правового регулирования:</w:t>
            </w:r>
          </w:p>
          <w:p w14:paraId="17000000">
            <w:pPr>
              <w:widowControl w:val="1"/>
              <w:ind w:firstLine="709" w:left="357"/>
              <w:jc w:val="both"/>
              <w:rPr>
                <w:sz w:val="28"/>
              </w:rPr>
            </w:pPr>
            <w:r>
              <w:rPr>
                <w:sz w:val="28"/>
              </w:rPr>
              <w:t>Упорядочить внешний вид НТО.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становить единые архитектурные требования (габариты, материалы, цвета, оформление элементов) и закрепить типовые решения, чтобы новые объекты гармонично вписывались в окружающую застройку и не создавали визуальной дисгармонии.</w:t>
            </w:r>
          </w:p>
          <w:p w14:paraId="18000000">
            <w:pPr>
              <w:widowControl w:val="1"/>
              <w:ind w:firstLine="709" w:left="357"/>
              <w:jc w:val="both"/>
              <w:rPr>
                <w:sz w:val="28"/>
              </w:rPr>
            </w:pPr>
            <w:r>
              <w:rPr>
                <w:sz w:val="28"/>
              </w:rPr>
              <w:t>Обеспечить единство стиля территории.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Добиться целостного, привлекательного облика торговых зон, улиц или площадей, где размещаются нестационарные объекты, за счёт согласованности решений.</w:t>
            </w:r>
          </w:p>
          <w:p w14:paraId="19000000">
            <w:pPr>
              <w:widowControl w:val="1"/>
              <w:ind w:firstLine="709" w:left="357"/>
              <w:jc w:val="both"/>
              <w:rPr>
                <w:sz w:val="28"/>
              </w:rPr>
            </w:pPr>
            <w:r>
              <w:rPr>
                <w:sz w:val="28"/>
              </w:rPr>
              <w:t>Создать прозрачные правила для предпринимателей.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Чётко зафиксировать критерии, которым должны со</w:t>
            </w:r>
            <w:r>
              <w:rPr>
                <w:sz w:val="28"/>
              </w:rPr>
              <w:t>ответствовать НТО, чтобы у бизнеса были понятные ориентиры при проектировании и размещении, а у контролирующих органов — однозначные основания для оценки.</w:t>
            </w:r>
          </w:p>
          <w:p w14:paraId="1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.6. Краткое описание содержания предлагаемого правового регулирования:</w:t>
            </w:r>
          </w:p>
          <w:p w14:paraId="1B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Архитектурные требования. В документе прописаны конкретные</w:t>
            </w:r>
            <w:r>
              <w:rPr>
                <w:sz w:val="28"/>
              </w:rPr>
              <w:t xml:space="preserve"> параметры, которым должен соответствовать внешний вид нестационарного торгового объекта (НТО). Например, ограничения по габаритам (высота, площадь), допустимые отделочные материалы, разрешённые цветовые решения, правила оформл</w:t>
            </w:r>
            <w:r>
              <w:rPr>
                <w:sz w:val="28"/>
              </w:rPr>
              <w:t xml:space="preserve">ения отдельных элементов: входных групп, остекления, фриза (декоративной полосы над входом), размещения вывесок. Цель — добиться, чтобы объекты не диссонировали с окружающей застройкой. </w:t>
            </w:r>
          </w:p>
          <w:p w14:paraId="1C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Типовые архитектурные решения. К постановлению прилагается приложение (часто в виде эскизов или чертежей), где представлены несколько утве</w:t>
            </w:r>
            <w:r>
              <w:rPr>
                <w:sz w:val="28"/>
              </w:rPr>
              <w:t xml:space="preserve">рждённых вариантов дизайна для разных типов НТО — скажем, для киоска, небольшого павильона или конструкции, совмещённой с остановочным комплексом. Предприниматель не придумывает дизайн с </w:t>
            </w:r>
            <w:r>
              <w:rPr>
                <w:sz w:val="28"/>
              </w:rPr>
              <w:t xml:space="preserve">нуля, а выбирает один из одобренных типовых проектов, адаптируя его под конкретное место размещения в рамках заданных требований. </w:t>
            </w:r>
          </w:p>
          <w:p w14:paraId="1D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1.6.1. Степень регулирующего воздействия -  </w:t>
            </w:r>
            <w:r>
              <w:rPr>
                <w:sz w:val="28"/>
              </w:rPr>
              <w:t>высокая</w:t>
            </w:r>
            <w:r>
              <w:rPr>
                <w:sz w:val="28"/>
              </w:rPr>
              <w:t xml:space="preserve">.   </w:t>
            </w:r>
          </w:p>
          <w:p w14:paraId="1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Обоснование степени регулирующего воздействия: </w:t>
            </w:r>
            <w:r>
              <w:rPr>
                <w:sz w:val="28"/>
              </w:rPr>
              <w:t>Проект МНПА содержит положения, изменяющие р</w:t>
            </w:r>
            <w:r>
              <w:rPr>
                <w:sz w:val="28"/>
              </w:rPr>
              <w:t>анее предусмотренные МНПА обязательные требования для субъектов предпринимательской и иной экономической деятельности.</w:t>
            </w:r>
            <w:r>
              <w:rPr>
                <w:sz w:val="28"/>
              </w:rPr>
              <w:t xml:space="preserve"> </w:t>
            </w:r>
          </w:p>
          <w:p w14:paraId="1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1.6.2. Наличие или отсутствие в проекте муниципального нормативного правового акта обязательных требований, связан</w:t>
            </w:r>
            <w:r>
              <w:rPr>
                <w:sz w:val="28"/>
              </w:rPr>
              <w:t>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есть.</w:t>
            </w:r>
          </w:p>
        </w:tc>
      </w:tr>
      <w:tr>
        <w:tc>
          <w:tcPr>
            <w:tcW w:type="dxa" w:w="10206"/>
            <w:gridSpan w:val="7"/>
          </w:tcPr>
          <w:p w14:paraId="2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19"/>
            <w:gridSpan w:val="2"/>
          </w:tcPr>
          <w:p w14:paraId="2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  <w:tc>
          <w:tcPr>
            <w:tcW w:type="dxa" w:w="9087"/>
            <w:gridSpan w:val="5"/>
            <w:tcBorders>
              <w:bottom w:color="000000" w:sz="1" w:val="single"/>
            </w:tcBorders>
          </w:tcPr>
          <w:p w14:paraId="22000000">
            <w:pPr>
              <w:rPr>
                <w:sz w:val="28"/>
              </w:rPr>
            </w:pPr>
            <w:r>
              <w:rPr>
                <w:sz w:val="28"/>
              </w:rPr>
              <w:t>Коперская Екатерина Сергеевна</w:t>
            </w:r>
          </w:p>
        </w:tc>
      </w:tr>
      <w:tr>
        <w:tc>
          <w:tcPr>
            <w:tcW w:type="dxa" w:w="1679"/>
            <w:gridSpan w:val="3"/>
          </w:tcPr>
          <w:p w14:paraId="2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Должность:</w:t>
            </w:r>
          </w:p>
        </w:tc>
        <w:tc>
          <w:tcPr>
            <w:tcW w:type="dxa" w:w="8527"/>
            <w:gridSpan w:val="4"/>
            <w:tcBorders>
              <w:bottom w:color="000000" w:sz="1" w:val="single"/>
            </w:tcBorders>
          </w:tcPr>
          <w:p w14:paraId="2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Заместитель начальника</w:t>
            </w:r>
            <w:r>
              <w:rPr>
                <w:sz w:val="28"/>
              </w:rPr>
              <w:t xml:space="preserve"> управления </w:t>
            </w:r>
            <w:r>
              <w:rPr>
                <w:sz w:val="28"/>
              </w:rPr>
              <w:t>архитектуры</w:t>
            </w:r>
            <w:r>
              <w:rPr>
                <w:sz w:val="28"/>
              </w:rPr>
              <w:t xml:space="preserve"> администрации муниципально</w:t>
            </w:r>
            <w:r>
              <w:rPr>
                <w:sz w:val="28"/>
              </w:rPr>
              <w:t>го образования Северский муниципальный район Краснодарского края</w:t>
            </w:r>
          </w:p>
        </w:tc>
      </w:tr>
      <w:tr>
        <w:tc>
          <w:tcPr>
            <w:tcW w:type="dxa" w:w="839"/>
          </w:tcPr>
          <w:p w14:paraId="2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Тел:</w:t>
            </w:r>
          </w:p>
        </w:tc>
        <w:tc>
          <w:tcPr>
            <w:tcW w:type="dxa" w:w="2519"/>
            <w:gridSpan w:val="4"/>
          </w:tcPr>
          <w:p w14:paraId="26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(86166) </w:t>
            </w:r>
            <w:r>
              <w:rPr>
                <w:sz w:val="28"/>
              </w:rPr>
              <w:t>2-91-1</w:t>
            </w:r>
            <w:r>
              <w:rPr>
                <w:sz w:val="28"/>
              </w:rPr>
              <w:t>2</w:t>
            </w:r>
          </w:p>
        </w:tc>
        <w:tc>
          <w:tcPr>
            <w:tcW w:type="dxa" w:w="3499"/>
          </w:tcPr>
          <w:p w14:paraId="27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Адрес электронной почты:</w:t>
            </w:r>
          </w:p>
        </w:tc>
        <w:tc>
          <w:tcPr>
            <w:tcW w:type="dxa" w:w="3349"/>
          </w:tcPr>
          <w:p w14:paraId="28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arhitektura@sevadm.ru</w:t>
            </w:r>
          </w:p>
        </w:tc>
      </w:tr>
      <w:tr>
        <w:tc>
          <w:tcPr>
            <w:tcW w:type="dxa" w:w="10206"/>
            <w:gridSpan w:val="7"/>
          </w:tcPr>
          <w:p w14:paraId="29000000">
            <w:pPr>
              <w:widowControl w:val="1"/>
              <w:ind/>
              <w:jc w:val="both"/>
              <w:rPr>
                <w:sz w:val="28"/>
              </w:rPr>
            </w:pPr>
          </w:p>
          <w:p w14:paraId="2A000000">
            <w:pPr>
              <w:widowControl w:val="1"/>
              <w:ind w:firstLine="888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2. Описание проблемы, на решение которой направлено предлагаемое правовое</w:t>
            </w:r>
            <w:r>
              <w:rPr>
                <w:b w:val="1"/>
                <w:sz w:val="28"/>
              </w:rPr>
              <w:t xml:space="preserve"> регулирование:</w:t>
            </w:r>
          </w:p>
          <w:p w14:paraId="2B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</w:p>
        </w:tc>
      </w:tr>
    </w:tbl>
    <w:p w14:paraId="2C000000">
      <w:pPr>
        <w:rPr>
          <w:sz w:val="28"/>
        </w:rPr>
      </w:pPr>
    </w:p>
    <w:tbl>
      <w:tblPr>
        <w:tblStyle w:val="Style_2"/>
        <w:tblW w:type="auto" w:w="0"/>
        <w:tblInd w:type="dxa" w:w="108"/>
        <w:tblLayout w:type="fixed"/>
      </w:tblPr>
      <w:tblGrid>
        <w:gridCol w:w="1560"/>
        <w:gridCol w:w="708"/>
        <w:gridCol w:w="508"/>
        <w:gridCol w:w="514"/>
        <w:gridCol w:w="337"/>
        <w:gridCol w:w="284"/>
        <w:gridCol w:w="641"/>
        <w:gridCol w:w="67"/>
        <w:gridCol w:w="851"/>
        <w:gridCol w:w="467"/>
        <w:gridCol w:w="614"/>
        <w:gridCol w:w="236"/>
        <w:gridCol w:w="464"/>
        <w:gridCol w:w="387"/>
        <w:gridCol w:w="200"/>
        <w:gridCol w:w="447"/>
        <w:gridCol w:w="1112"/>
      </w:tblGrid>
      <w:tr>
        <w:tc>
          <w:tcPr>
            <w:tcW w:type="dxa" w:w="9397"/>
            <w:gridSpan w:val="17"/>
          </w:tcPr>
          <w:p w14:paraId="2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2.1. Формулировка проблемы: </w:t>
            </w:r>
          </w:p>
          <w:p w14:paraId="2E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Отсутствие единых требований к внешнему виду нестационарных торговых объектов (НТО) приводило к хаотичному размещению и визуальной дисгармонии на территории Северского муниципального района. Разные предприниматели использовали несочетаемые материалы, цвета и формы, из-за чего торговые зоны (улицы, площади, зоны у остановок) теряли целостный облик — объекты не вписывались в окружающую застройку и общее благоустройство. Это снижало эстетическое качество городской среды и создавало риски для единого архитекту</w:t>
            </w:r>
            <w:r>
              <w:rPr>
                <w:color w:val="000000"/>
                <w:sz w:val="28"/>
              </w:rPr>
              <w:t>рно-художественного стиля территории</w:t>
            </w:r>
            <w:r>
              <w:rPr>
                <w:color w:val="000000"/>
                <w:sz w:val="28"/>
              </w:rPr>
              <w:t>.</w:t>
            </w:r>
          </w:p>
        </w:tc>
      </w:tr>
      <w:tr>
        <w:tc>
          <w:tcPr>
            <w:tcW w:type="dxa" w:w="9397"/>
            <w:gridSpan w:val="17"/>
          </w:tcPr>
          <w:p w14:paraId="2F000000">
            <w:pPr>
              <w:widowControl w:val="1"/>
              <w:ind/>
              <w:jc w:val="both"/>
              <w:rPr>
                <w:sz w:val="28"/>
              </w:rPr>
            </w:pPr>
          </w:p>
          <w:p w14:paraId="3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9397"/>
            <w:gridSpan w:val="17"/>
          </w:tcPr>
          <w:p w14:paraId="31000000">
            <w:pPr>
              <w:rPr>
                <w:sz w:val="28"/>
              </w:rPr>
            </w:pPr>
            <w:r>
              <w:rPr>
                <w:sz w:val="28"/>
              </w:rPr>
              <w:t>Актуализация устаревших требований в ранее принятом постановлении администрации Северского района от 25.12.2018г. №2361 «Об утверждении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>»</w:t>
            </w:r>
          </w:p>
        </w:tc>
      </w:tr>
      <w:tr>
        <w:tc>
          <w:tcPr>
            <w:tcW w:type="dxa" w:w="9397"/>
            <w:gridSpan w:val="17"/>
          </w:tcPr>
          <w:p w14:paraId="3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2.3. Субъекты общественных отнош</w:t>
            </w:r>
            <w:r>
              <w:rPr>
                <w:sz w:val="28"/>
              </w:rPr>
              <w:t>ений, заинтересованные в устранении проблемы, их количественная оценка:</w:t>
            </w:r>
          </w:p>
          <w:p w14:paraId="33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Физические и юридические лица, являющиеся правообладателями НТО,по состояюнию на 1.08.2026 количественная оценка таких объектов насчитывает 92 объекта.</w:t>
            </w:r>
          </w:p>
        </w:tc>
      </w:tr>
      <w:tr>
        <w:tc>
          <w:tcPr>
            <w:tcW w:type="dxa" w:w="9397"/>
            <w:gridSpan w:val="17"/>
          </w:tcPr>
          <w:p w14:paraId="34000000">
            <w:pPr>
              <w:pStyle w:val="Style_4"/>
              <w:widowControl w:val="1"/>
              <w:tabs>
                <w:tab w:leader="none" w:pos="645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3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9397"/>
            <w:gridSpan w:val="17"/>
          </w:tcPr>
          <w:p w14:paraId="3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Визуальная дисгармония. На улицах, площадях и у остановок НТО ра</w:t>
            </w:r>
            <w:r>
              <w:rPr>
                <w:sz w:val="28"/>
              </w:rPr>
              <w:t xml:space="preserve">змещались хаотично: использовались разнородные материалы (дерево, металл, пластик), цвета и формы. В результате торговые зоны теряли целостный облик — объекты не сочетались друг с другом и с окружающей застройкой, что снижало эстетическое качество среды. </w:t>
            </w:r>
          </w:p>
          <w:p w14:paraId="3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пропорций и перекрытие архитектурных элементов. Отдельные крупные или неудачно расположенные НТО могли зрительно «перекрывать» фасады капитальных зданий — окна, колонны, входные группы, фризы. Это искажало архитектурный облик района. </w:t>
            </w:r>
          </w:p>
          <w:p w14:paraId="3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Сложности в</w:t>
            </w:r>
            <w:r>
              <w:rPr>
                <w:sz w:val="28"/>
              </w:rPr>
              <w:t xml:space="preserve"> правоприменении. Отсутствие чётких правил порождало субъективизм при контроле: у чиновников и предпринимателей были разные представления о том, что допустимо. Это вело к спорам, затягиванию согласований и рискам необоснованных отказов. </w:t>
            </w:r>
          </w:p>
          <w:p w14:paraId="3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Дополнительные издержки для бизнеса.</w:t>
            </w:r>
            <w:r>
              <w:rPr>
                <w:sz w:val="28"/>
              </w:rPr>
              <w:t xml:space="preserve"> Предпринимателям приходилось тратить время и ресурсы на разработку индивидуального, часто спорного проекта, а также на многократные доработки из-за неопределённости требований.</w:t>
            </w:r>
          </w:p>
          <w:p w14:paraId="3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Риск ухудшения санитарного состояния. Иногда хаотичное разме</w:t>
            </w:r>
            <w:r>
              <w:rPr>
                <w:sz w:val="28"/>
              </w:rPr>
              <w:t>щение сопровождалось ненадлежащим содержанием прилегающей территории — отсутствием урн, несвоевременной уборкой.</w:t>
            </w:r>
          </w:p>
        </w:tc>
      </w:tr>
      <w:tr>
        <w:tc>
          <w:tcPr>
            <w:tcW w:type="dxa" w:w="9397"/>
            <w:gridSpan w:val="17"/>
          </w:tcPr>
          <w:p w14:paraId="3B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3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9397"/>
            <w:gridSpan w:val="17"/>
          </w:tcPr>
          <w:p w14:paraId="3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Отсутствие федерального стандарта. На уровне федерального законодательства (в частности, в законе № 381-ФЗ «Об основах</w:t>
            </w:r>
            <w:r>
              <w:rPr>
                <w:sz w:val="28"/>
              </w:rPr>
              <w:t xml:space="preserve"> государственного регулирования торговой деятельности») нет жёстких требований к внешнему виду НТО. Это оставило простор для самостоятельного регулирования на местах, но одновременно породило ситуа</w:t>
            </w:r>
            <w:r>
              <w:rPr>
                <w:sz w:val="28"/>
              </w:rPr>
              <w:t xml:space="preserve">цию, когда в разных муниципалитетах (и даже в разных зонах одного района) правила формировались хаотично. </w:t>
            </w:r>
          </w:p>
          <w:p w14:paraId="3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Пробелы в муниципальном регулировании до принятия постановления. В Северском муниципальном районе до введения постановления № 2361 не было единого документа, который бы системно закрепил архитектурные требования и типовые решения. В результате каждый предприниматель проектировал объект исходя из с</w:t>
            </w:r>
            <w:r>
              <w:rPr>
                <w:sz w:val="28"/>
              </w:rPr>
              <w:t xml:space="preserve">обственных представлений, а у контролирующих органов не было чётких, измеримых критериев для оценки. </w:t>
            </w:r>
          </w:p>
          <w:p w14:paraId="3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Конфликт и</w:t>
            </w:r>
            <w:r>
              <w:rPr>
                <w:sz w:val="28"/>
              </w:rPr>
              <w:t xml:space="preserve">нтересов. С одной стороны, власти стремились упорядочить среду и сохранить облик территории. С другой </w:t>
            </w:r>
            <w:r>
              <w:rPr>
                <w:sz w:val="28"/>
              </w:rPr>
              <w:t>— предприниматели были заинтересованы в максимальной гибкости: им часто нужны были нестандартные решения под конкретную локацию, а жёсткие рамки воспринимались как барьер для бизнеса.</w:t>
            </w:r>
          </w:p>
        </w:tc>
      </w:tr>
      <w:tr>
        <w:tc>
          <w:tcPr>
            <w:tcW w:type="dxa" w:w="9397"/>
            <w:gridSpan w:val="17"/>
          </w:tcPr>
          <w:p w14:paraId="40000000">
            <w:pPr>
              <w:widowControl w:val="1"/>
              <w:tabs>
                <w:tab w:leader="none" w:pos="930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4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rPr>
                <w:sz w:val="28"/>
              </w:rPr>
              <w:t xml:space="preserve">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:</w:t>
            </w:r>
          </w:p>
        </w:tc>
      </w:tr>
      <w:tr>
        <w:tc>
          <w:tcPr>
            <w:tcW w:type="dxa" w:w="9397"/>
            <w:gridSpan w:val="17"/>
          </w:tcPr>
          <w:p w14:paraId="4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Style w:val="Style_5_ch"/>
                <w:sz w:val="28"/>
              </w:rPr>
              <w:t xml:space="preserve">В соответствии с постановлением главы администрации (губернатора) Краснодарского края от 11 ноября 2014 года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утвержден порядок разработки органами местного самоуправления схем размещения нестационарных торговых объектов на </w:t>
            </w:r>
            <w:r>
              <w:rPr>
                <w:rStyle w:val="Style_5_ch"/>
                <w:sz w:val="28"/>
              </w:rPr>
              <w:t>территории Краснодарского края, в соответствии с п. 3.1 раздела 3 которого схема разрабатывается и утверждается органом местного самоуправления</w:t>
            </w:r>
            <w:r>
              <w:rPr>
                <w:rStyle w:val="Style_5_ch"/>
                <w:sz w:val="28"/>
              </w:rPr>
              <w:t>.</w:t>
            </w:r>
          </w:p>
        </w:tc>
      </w:tr>
      <w:tr>
        <w:tc>
          <w:tcPr>
            <w:tcW w:type="dxa" w:w="9397"/>
            <w:gridSpan w:val="17"/>
          </w:tcPr>
          <w:p w14:paraId="43000000">
            <w:pPr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4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45000000">
            <w:pPr>
              <w:widowControl w:val="1"/>
              <w:ind w:firstLine="993" w:left="-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>
              <w:rPr>
                <w:sz w:val="28"/>
              </w:rPr>
              <w:t>Регулирующим органом в ходе разработки проекта был изучен опыт решения проблемы в других муниципальных образованиях Краснодарского края.</w:t>
            </w:r>
          </w:p>
          <w:p w14:paraId="46000000">
            <w:pPr>
              <w:widowControl w:val="1"/>
              <w:ind w:firstLine="993" w:left="-105"/>
              <w:jc w:val="both"/>
              <w:rPr>
                <w:sz w:val="28"/>
              </w:rPr>
            </w:pPr>
          </w:p>
        </w:tc>
      </w:tr>
      <w:tr>
        <w:trPr>
          <w:trHeight w:hRule="atLeast" w:val="102"/>
        </w:trPr>
        <w:tc>
          <w:tcPr>
            <w:tcW w:type="dxa" w:w="9397"/>
            <w:gridSpan w:val="17"/>
          </w:tcPr>
          <w:p w14:paraId="47000000">
            <w:pPr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4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2.8. Источники данных:</w:t>
            </w:r>
          </w:p>
        </w:tc>
      </w:tr>
      <w:tr>
        <w:tc>
          <w:tcPr>
            <w:tcW w:type="dxa" w:w="9397"/>
            <w:gridSpan w:val="17"/>
          </w:tcPr>
          <w:p w14:paraId="4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Информационно-правовое обеспечение «Гарант».</w:t>
            </w:r>
          </w:p>
        </w:tc>
      </w:tr>
      <w:tr>
        <w:tc>
          <w:tcPr>
            <w:tcW w:type="dxa" w:w="9397"/>
            <w:gridSpan w:val="17"/>
          </w:tcPr>
          <w:p w14:paraId="4A000000">
            <w:pPr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4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>9. Иная информация о пробл</w:t>
            </w:r>
            <w:r>
              <w:rPr>
                <w:sz w:val="28"/>
              </w:rPr>
              <w:t>еме:</w:t>
            </w:r>
          </w:p>
        </w:tc>
      </w:tr>
      <w:tr>
        <w:tc>
          <w:tcPr>
            <w:tcW w:type="dxa" w:w="9397"/>
            <w:gridSpan w:val="17"/>
          </w:tcPr>
          <w:p w14:paraId="4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тсутствует</w:t>
            </w:r>
          </w:p>
        </w:tc>
      </w:tr>
      <w:tr>
        <w:tc>
          <w:tcPr>
            <w:tcW w:type="dxa" w:w="9397"/>
            <w:gridSpan w:val="17"/>
          </w:tcPr>
          <w:p w14:paraId="4D000000">
            <w:pPr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4E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bookmarkStart w:id="1" w:name="sub_10003"/>
            <w:r>
              <w:rPr>
                <w:b w:val="1"/>
                <w:sz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1"/>
            <w:r>
              <w:rPr>
                <w:b w:val="1"/>
                <w:sz w:val="28"/>
              </w:rPr>
              <w:t>:</w:t>
            </w:r>
          </w:p>
        </w:tc>
      </w:tr>
      <w:tr>
        <w:tc>
          <w:tcPr>
            <w:tcW w:type="dxa" w:w="9397"/>
            <w:gridSpan w:val="17"/>
          </w:tcPr>
          <w:p w14:paraId="4F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3.1. Цели предлагаемого правового регулирования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1000000">
            <w:pPr>
              <w:widowControl w:val="1"/>
              <w:ind/>
              <w:jc w:val="center"/>
              <w:rPr>
                <w:sz w:val="28"/>
              </w:rPr>
            </w:pPr>
            <w:bookmarkStart w:id="2" w:name="sub_100032"/>
            <w:r>
              <w:rPr>
                <w:sz w:val="28"/>
              </w:rPr>
              <w:t>3.2. Сроки достижения целей предлагаемого правового регулирования</w:t>
            </w:r>
            <w:bookmarkEnd w:id="2"/>
          </w:p>
        </w:tc>
        <w:tc>
          <w:tcPr>
            <w:tcW w:type="dxa" w:w="34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2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3.3. Периоди</w:t>
            </w:r>
            <w:r>
              <w:rPr>
                <w:sz w:val="28"/>
              </w:rPr>
              <w:t>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3000000">
            <w:pPr>
              <w:widowControl w:val="1"/>
              <w:ind w:firstLine="0" w:left="142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Упорядочить внешний вид НТО.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становить единые архитектурные требования (габариты, материалы, цвета, оформление элементов) и закрепить типовые решения, чтобы новые объекты гармонично вписывались в окружающую застройку и не создавали визуальной дисгармонии.</w:t>
            </w:r>
            <w:r>
              <w:rPr>
                <w:sz w:val="24"/>
              </w:rPr>
              <w:t>Обеспечить единство стиля территории.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Добиться целостного, привлекательного облика торговых зон, улиц или площадей, где размещаются нестационарные объекты, за счёт согласованности решений.</w:t>
            </w:r>
          </w:p>
          <w:p w14:paraId="54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Создать прозрачные правила для предпринимателей.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Чётко зафиксировать критерии, которым должны со</w:t>
            </w:r>
            <w:r>
              <w:rPr>
                <w:sz w:val="24"/>
              </w:rPr>
              <w:t>ответствовать НТО, чтобы у бизнеса были понятные ориентиры при проектировании и размещении, а у контролирующих органов — однозначные основания для оценки.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5000000">
            <w:pPr>
              <w:widowControl w:val="1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Со дня официального опубликования настоящего постановления</w:t>
            </w:r>
          </w:p>
        </w:tc>
        <w:tc>
          <w:tcPr>
            <w:tcW w:type="dxa" w:w="34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мониторинге достижения целей не нуждается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397"/>
            <w:gridSpan w:val="17"/>
          </w:tcPr>
          <w:p w14:paraId="57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5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</w:t>
            </w:r>
            <w:r>
              <w:rPr>
                <w:sz w:val="28"/>
              </w:rPr>
              <w:t>новки</w:t>
            </w:r>
          </w:p>
          <w:p w14:paraId="59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указанных целей</w:t>
            </w:r>
            <w:r>
              <w:rPr>
                <w:sz w:val="28"/>
              </w:rPr>
              <w:t>:</w:t>
            </w:r>
          </w:p>
          <w:p w14:paraId="5A000000">
            <w:pPr>
              <w:widowControl w:val="1"/>
              <w:ind w:firstLine="60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главы администрации (губернатора) Краснодарского края от 11.11.2014 № 1249 (с изменениями, в том числе от 20.11.2023 № 945)</w:t>
            </w:r>
          </w:p>
        </w:tc>
      </w:tr>
      <w:tr>
        <w:tc>
          <w:tcPr>
            <w:tcW w:type="dxa" w:w="9397"/>
            <w:gridSpan w:val="17"/>
          </w:tcPr>
          <w:p w14:paraId="5B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3.5. Цели предлагаемого правового регулирования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D000000">
            <w:pPr>
              <w:widowControl w:val="1"/>
              <w:ind/>
              <w:jc w:val="center"/>
              <w:rPr>
                <w:sz w:val="28"/>
              </w:rPr>
            </w:pPr>
            <w:bookmarkStart w:id="3" w:name="sub_100036"/>
            <w:r>
              <w:rPr>
                <w:sz w:val="28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type="dxa" w:w="1701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E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3.7. Единица измерения индикаторов</w:t>
            </w:r>
          </w:p>
        </w:tc>
        <w:tc>
          <w:tcPr>
            <w:tcW w:type="dxa" w:w="1759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3.8. Целевые значения индикаторов по годам</w:t>
            </w: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ind w:firstLine="0" w:left="142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Упорядочить внешний вид НТО.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становить единые архитектурные требования (габариты, материалы, цвета, оформление элементов) и закрепить типовые решения, чтобы новые объекты гармонично вписывались в окружающую застройку и не создавали визуальной дисгармонии.</w:t>
            </w:r>
            <w:r>
              <w:rPr>
                <w:sz w:val="24"/>
              </w:rPr>
              <w:t>Обеспечить единство стиля территории.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Добиться целостного, привлекательного облика торговых зон, улиц или площадей, где размещаются нестационарные объекты, за счёт согласованности решений.</w:t>
            </w:r>
          </w:p>
          <w:p w14:paraId="61000000">
            <w:pPr>
              <w:widowControl w:val="1"/>
              <w:ind/>
              <w:jc w:val="left"/>
              <w:rPr>
                <w:sz w:val="24"/>
              </w:rPr>
            </w:pPr>
            <w:r>
              <w:rPr>
                <w:sz w:val="24"/>
              </w:rPr>
              <w:t>Создать прозрачные правила для предпринимателей.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Чётко зафиксировать критерии, которым должны со</w:t>
            </w:r>
            <w:r>
              <w:rPr>
                <w:sz w:val="24"/>
              </w:rPr>
              <w:t>ответствовать НТО, чтобы у бизнеса были понятные ориентиры при проектировании и размещении, а у контролирующих органов — однозначные основания для оценки.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2000000">
            <w:pPr>
              <w:widowControl w:val="1"/>
              <w:spacing w:line="276" w:lineRule="auto"/>
              <w:ind/>
              <w:rPr>
                <w:sz w:val="24"/>
                <w:highlight w:val="yellow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остижение целей предлагаемого право</w:t>
            </w:r>
            <w:r>
              <w:rPr>
                <w:sz w:val="24"/>
              </w:rPr>
              <w:t>вого регулирования предусматривает наличие индикаторов,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так  как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Добиться целостного, привлекательного облика торговых зон, улиц или площадей, где размещаются нестационарные объекты, за счёт согласованности решений.</w:t>
            </w:r>
          </w:p>
          <w:p w14:paraId="63000000">
            <w:pPr>
              <w:widowControl w:val="1"/>
              <w:numPr>
                <w:ilvl w:val="0"/>
                <w:numId w:val="1"/>
              </w:numPr>
              <w:ind w:firstLine="0" w:left="-113"/>
              <w:rPr>
                <w:sz w:val="28"/>
                <w:highlight w:val="yellow"/>
                <w:u w:val="single"/>
              </w:rPr>
            </w:pPr>
          </w:p>
        </w:tc>
        <w:tc>
          <w:tcPr>
            <w:tcW w:type="dxa" w:w="1701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4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%</w:t>
            </w:r>
          </w:p>
        </w:tc>
        <w:tc>
          <w:tcPr>
            <w:tcW w:type="dxa" w:w="1759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5000000">
            <w:pPr>
              <w:pStyle w:val="Style_6"/>
              <w:keepLines w:val="1"/>
              <w:widowControl w:val="1"/>
              <w:spacing w:after="0" w:before="0" w:line="240" w:lineRule="auto"/>
              <w:ind/>
              <w:jc w:val="center"/>
              <w:rPr>
                <w:sz w:val="28"/>
                <w:highlight w:val="yellow"/>
              </w:rPr>
            </w:pPr>
            <w:r>
              <w:rPr>
                <w:sz w:val="22"/>
              </w:rPr>
              <w:t>Целевые значения индикатор</w:t>
            </w:r>
            <w:r>
              <w:rPr>
                <w:sz w:val="22"/>
              </w:rPr>
              <w:t>ов устанавливаются с момента вступления в силу данного постановления и до окончания обозначенных событий или их отмены</w:t>
            </w:r>
            <w:r>
              <w:rPr>
                <w:sz w:val="22"/>
              </w:rPr>
              <w:t xml:space="preserve">  </w:t>
            </w:r>
          </w:p>
        </w:tc>
      </w:tr>
      <w:tr>
        <w:tc>
          <w:tcPr>
            <w:tcW w:type="dxa" w:w="9397"/>
            <w:gridSpan w:val="17"/>
          </w:tcPr>
          <w:p w14:paraId="66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67000000">
            <w:pPr>
              <w:widowControl w:val="1"/>
              <w:ind w:firstLine="46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основании данных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 xml:space="preserve">правления </w:t>
            </w:r>
            <w:r>
              <w:rPr>
                <w:sz w:val="28"/>
              </w:rPr>
              <w:t>архитектуры</w:t>
            </w:r>
          </w:p>
        </w:tc>
      </w:tr>
      <w:tr>
        <w:tc>
          <w:tcPr>
            <w:tcW w:type="dxa" w:w="9397"/>
            <w:gridSpan w:val="17"/>
          </w:tcPr>
          <w:p w14:paraId="6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3.10. Оценка затрат на проведение мониторинга достижения целей предлагаемого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регулирования:</w:t>
            </w:r>
          </w:p>
          <w:p w14:paraId="6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 предусмотрены. </w:t>
            </w:r>
          </w:p>
        </w:tc>
      </w:tr>
      <w:tr>
        <w:tc>
          <w:tcPr>
            <w:tcW w:type="dxa" w:w="9397"/>
            <w:gridSpan w:val="17"/>
          </w:tcPr>
          <w:p w14:paraId="6A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6B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9397"/>
            <w:gridSpan w:val="17"/>
          </w:tcPr>
          <w:p w14:paraId="6C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4619"/>
            <w:gridSpan w:val="8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D000000">
            <w:pPr>
              <w:widowControl w:val="1"/>
              <w:ind/>
              <w:jc w:val="center"/>
              <w:rPr>
                <w:sz w:val="24"/>
              </w:rPr>
            </w:pPr>
            <w:bookmarkStart w:id="4" w:name="sub_100041"/>
            <w:r>
              <w:rPr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type="dxa" w:w="2632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4.2. Количество участников группы</w:t>
            </w:r>
          </w:p>
        </w:tc>
        <w:tc>
          <w:tcPr>
            <w:tcW w:type="dxa" w:w="2146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rPr/>
        <w:tc>
          <w:tcPr>
            <w:tcW w:type="dxa" w:w="4619"/>
            <w:gridSpan w:val="8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0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Физические и юридические лица, яв</w:t>
            </w:r>
            <w:r>
              <w:rPr>
                <w:sz w:val="24"/>
              </w:rPr>
              <w:t>ляющиеся правообладателями НТО.</w:t>
            </w:r>
          </w:p>
        </w:tc>
        <w:tc>
          <w:tcPr>
            <w:tcW w:type="dxa" w:w="2632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1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Физические и юридические лица, являющиеся правообладателями НТО,по состояюнию на 1.08.2026 количественная оценка таких объектов насчитывает 92 объекта.</w:t>
            </w:r>
          </w:p>
        </w:tc>
        <w:tc>
          <w:tcPr>
            <w:tcW w:type="dxa" w:w="2146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2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основании данных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правления </w:t>
            </w:r>
            <w:r>
              <w:rPr>
                <w:sz w:val="24"/>
              </w:rPr>
              <w:t>малого бизнеса и потребительской сферы</w:t>
            </w:r>
            <w:r>
              <w:rPr>
                <w:sz w:val="24"/>
              </w:rPr>
              <w:t xml:space="preserve"> предшествующих текущему году</w:t>
            </w:r>
          </w:p>
        </w:tc>
      </w:tr>
      <w:tr>
        <w:tc>
          <w:tcPr>
            <w:tcW w:type="dxa" w:w="9397"/>
            <w:gridSpan w:val="17"/>
          </w:tcPr>
          <w:p w14:paraId="73000000">
            <w:pPr>
              <w:widowControl w:val="1"/>
              <w:ind/>
              <w:jc w:val="both"/>
              <w:rPr>
                <w:sz w:val="28"/>
              </w:rPr>
            </w:pPr>
          </w:p>
          <w:p w14:paraId="74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75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rPr>
                <w:b w:val="1"/>
                <w:sz w:val="28"/>
              </w:rPr>
              <w:t>Северский</w:t>
            </w:r>
            <w:r>
              <w:rPr>
                <w:b w:val="1"/>
                <w:sz w:val="28"/>
              </w:rPr>
              <w:t xml:space="preserve"> муниципальный</w:t>
            </w:r>
            <w:r>
              <w:rPr>
                <w:b w:val="1"/>
                <w:sz w:val="28"/>
              </w:rPr>
              <w:t xml:space="preserve"> район</w:t>
            </w:r>
            <w:r>
              <w:rPr>
                <w:b w:val="1"/>
                <w:sz w:val="28"/>
              </w:rPr>
              <w:t xml:space="preserve"> Краснодарского края</w:t>
            </w:r>
            <w:r>
              <w:rPr>
                <w:b w:val="1"/>
                <w:sz w:val="28"/>
              </w:rPr>
              <w:t>, а также порядка их реализации в связи с введением предлагаемог</w:t>
            </w:r>
            <w:r>
              <w:rPr>
                <w:b w:val="1"/>
                <w:sz w:val="28"/>
              </w:rPr>
              <w:t>о правового регулирования:</w:t>
            </w:r>
          </w:p>
        </w:tc>
      </w:tr>
      <w:tr>
        <w:trPr>
          <w:trHeight w:hRule="atLeast" w:val="6657"/>
        </w:trP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6000000">
            <w:pPr>
              <w:widowControl w:val="1"/>
              <w:ind/>
              <w:jc w:val="center"/>
              <w:rPr>
                <w:sz w:val="24"/>
              </w:rPr>
            </w:pPr>
            <w:bookmarkStart w:id="5" w:name="sub_100051"/>
            <w:r>
              <w:rPr>
                <w:sz w:val="24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type="dxa" w:w="508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135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5.3. Предполагаемый порядок реализации</w:t>
            </w:r>
          </w:p>
        </w:tc>
        <w:tc>
          <w:tcPr>
            <w:tcW w:type="dxa" w:w="3927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top"/>
          </w:tcPr>
          <w:p w14:paraId="7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5.5. Оценка изменения потребностей в других ресурсах</w:t>
            </w:r>
          </w:p>
        </w:tc>
      </w:tr>
      <w:tr>
        <w:trPr/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B000000">
            <w:pPr>
              <w:pStyle w:val="Style_7"/>
              <w:rPr>
                <w:sz w:val="24"/>
              </w:rPr>
            </w:pPr>
            <w:r>
              <w:t xml:space="preserve">Устанавливается полномочие муниципального образования по разработке и утверждению типового формата внешнего вид нестационарных торговых объектов и </w:t>
            </w:r>
            <w:r>
              <w:rPr>
                <w:sz w:val="24"/>
              </w:rPr>
              <w:t>нестационарных</w:t>
            </w:r>
            <w:r>
              <w:t xml:space="preserve"> объектов по оказании услуг на территории муниципального образования Северский муниципальный район Краснодарского края</w:t>
            </w:r>
          </w:p>
        </w:tc>
        <w:tc>
          <w:tcPr>
            <w:tcW w:type="dxa" w:w="508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Изменяемая</w:t>
            </w:r>
          </w:p>
        </w:tc>
        <w:tc>
          <w:tcPr>
            <w:tcW w:type="dxa" w:w="1135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согласно утвержденному </w:t>
            </w:r>
            <w:r>
              <w:rPr>
                <w:sz w:val="24"/>
              </w:rPr>
              <w:t>постановлению</w:t>
            </w:r>
          </w:p>
        </w:tc>
        <w:tc>
          <w:tcPr>
            <w:tcW w:type="dxa" w:w="3927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>Объем трудозатрат не изменится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top"/>
          </w:tcPr>
          <w:p w14:paraId="7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Потребность отсутствует</w:t>
            </w:r>
          </w:p>
        </w:tc>
      </w:tr>
      <w:tr>
        <w:tc>
          <w:tcPr>
            <w:tcW w:type="dxa" w:w="9397"/>
            <w:gridSpan w:val="17"/>
          </w:tcPr>
          <w:p w14:paraId="80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81000000">
            <w:pPr>
              <w:widowControl w:val="1"/>
              <w:ind w:firstLine="888"/>
              <w:jc w:val="both"/>
              <w:rPr>
                <w:sz w:val="28"/>
              </w:rPr>
            </w:pPr>
            <w:bookmarkStart w:id="6" w:name="sub_10006"/>
            <w:r>
              <w:rPr>
                <w:sz w:val="28"/>
              </w:rPr>
              <w:t>6. Оценка до</w:t>
            </w:r>
            <w:r>
              <w:rPr>
                <w:sz w:val="28"/>
              </w:rPr>
              <w:t xml:space="preserve">полнительных расходов (доходов) местного бюджета (бюджета муниципального образования </w:t>
            </w:r>
            <w:r>
              <w:rPr>
                <w:sz w:val="24"/>
              </w:rPr>
              <w:t xml:space="preserve"> </w:t>
            </w:r>
            <w:r>
              <w:rPr>
                <w:sz w:val="28"/>
              </w:rPr>
              <w:t>Северский муниципальный район Краснодарского края</w:t>
            </w:r>
            <w:r>
              <w:rPr>
                <w:sz w:val="28"/>
              </w:rPr>
              <w:t>), связанных с введением предлагаемого правового регулирования:</w:t>
            </w:r>
            <w:bookmarkEnd w:id="6"/>
          </w:p>
          <w:p w14:paraId="82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8_ch"/>
                <w:color w:val="106BBE"/>
                <w:sz w:val="24"/>
              </w:rPr>
              <w:fldChar w:fldCharType="begin"/>
            </w:r>
            <w:r>
              <w:rPr>
                <w:rStyle w:val="Style_8_ch"/>
                <w:color w:val="106BBE"/>
                <w:sz w:val="24"/>
              </w:rPr>
              <w:instrText>HYPERLINK \l "sub_100051"</w:instrText>
            </w:r>
            <w:r>
              <w:rPr>
                <w:rStyle w:val="Style_8_ch"/>
                <w:color w:val="106BBE"/>
                <w:sz w:val="24"/>
              </w:rPr>
              <w:fldChar w:fldCharType="separate"/>
            </w:r>
            <w:r>
              <w:rPr>
                <w:rStyle w:val="Style_8_ch"/>
                <w:color w:val="106BBE"/>
                <w:sz w:val="24"/>
              </w:rPr>
              <w:t>подпунктом 5.1 пункта 5</w:t>
            </w:r>
            <w:r>
              <w:rPr>
                <w:rStyle w:val="Style_8_ch"/>
                <w:color w:val="106BBE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4"/>
              </w:rPr>
              <w:t>Северский муниципальный район Краснодарского края</w:t>
            </w:r>
            <w:r>
              <w:rPr>
                <w:sz w:val="24"/>
              </w:rPr>
              <w:t>)</w:t>
            </w:r>
          </w:p>
        </w:tc>
        <w:tc>
          <w:tcPr>
            <w:tcW w:type="dxa" w:w="3927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6.3. Количественная оценка расходов и возможных поступлений, млн рублей</w:t>
            </w:r>
          </w:p>
        </w:tc>
      </w:tr>
      <w:tr>
        <w:trPr/>
        <w:tc>
          <w:tcPr>
            <w:tcW w:type="dxa" w:w="9397"/>
            <w:gridSpan w:val="1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архитектуры</w:t>
            </w: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7000000">
            <w:pPr>
              <w:rPr>
                <w:sz w:val="24"/>
              </w:rPr>
            </w:pPr>
            <w:r>
              <w:rPr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8000000">
            <w:pPr>
              <w:rPr>
                <w:sz w:val="24"/>
              </w:rPr>
            </w:pPr>
            <w:r>
              <w:rPr>
                <w:sz w:val="24"/>
              </w:rPr>
              <w:t>Единовременные расходы в ____ 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3927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9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rPr/>
        <w:tc>
          <w:tcPr>
            <w:tcW w:type="dxa" w:w="5470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A000000">
            <w:pPr>
              <w:rPr>
                <w:sz w:val="24"/>
              </w:rPr>
            </w:pPr>
            <w:r>
              <w:rPr>
                <w:sz w:val="24"/>
              </w:rPr>
              <w:t>Итого единовременные расходы за период ____ гг.: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3927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B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rPr/>
        <w:tc>
          <w:tcPr>
            <w:tcW w:type="dxa" w:w="5470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C000000">
            <w:pPr>
              <w:rPr>
                <w:sz w:val="24"/>
              </w:rPr>
            </w:pPr>
            <w:r>
              <w:rPr>
                <w:sz w:val="24"/>
              </w:rPr>
              <w:t>Итого периодические расходы за период ____ гг.: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3927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D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rPr/>
        <w:tc>
          <w:tcPr>
            <w:tcW w:type="dxa" w:w="5470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E000000">
            <w:pPr>
              <w:rPr>
                <w:sz w:val="24"/>
              </w:rPr>
            </w:pPr>
            <w:r>
              <w:rPr>
                <w:sz w:val="24"/>
              </w:rPr>
              <w:t>Итого возможные доходы за период ____ гг.: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3927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F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c>
          <w:tcPr>
            <w:tcW w:type="dxa" w:w="9397"/>
            <w:gridSpan w:val="17"/>
          </w:tcPr>
          <w:p w14:paraId="90000000">
            <w:pPr>
              <w:widowControl w:val="1"/>
              <w:ind/>
              <w:jc w:val="both"/>
              <w:rPr>
                <w:sz w:val="28"/>
              </w:rPr>
            </w:pPr>
          </w:p>
          <w:p w14:paraId="9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rPr>
                <w:sz w:val="28"/>
              </w:rPr>
              <w:t>Северский муниципальный район Краснодарского края</w:t>
            </w:r>
            <w:r>
              <w:rPr>
                <w:sz w:val="28"/>
              </w:rPr>
              <w:t>), возникающих в связи с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введением предлагаемого правового регулирования:</w:t>
            </w:r>
          </w:p>
          <w:p w14:paraId="9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  <w:p w14:paraId="93000000">
            <w:pPr>
              <w:widowControl w:val="1"/>
              <w:ind w:firstLine="462"/>
              <w:jc w:val="both"/>
              <w:rPr>
                <w:sz w:val="28"/>
              </w:rPr>
            </w:pPr>
          </w:p>
          <w:p w14:paraId="9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z w:val="28"/>
              </w:rPr>
              <w:t xml:space="preserve">5. Источники </w:t>
            </w:r>
            <w:r>
              <w:rPr>
                <w:sz w:val="28"/>
              </w:rPr>
              <w:t>данных:</w:t>
            </w:r>
          </w:p>
          <w:p w14:paraId="9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</w:tc>
      </w:tr>
      <w:tr>
        <w:tc>
          <w:tcPr>
            <w:tcW w:type="dxa" w:w="9397"/>
            <w:gridSpan w:val="17"/>
          </w:tcPr>
          <w:p w14:paraId="96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9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  <w:p w14:paraId="98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sz w:val="24"/>
              </w:rPr>
              <w:t>подпунктом 4.1 пункта 4</w:t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</w:t>
            </w:r>
            <w:r>
              <w:rPr>
                <w:sz w:val="24"/>
              </w:rPr>
              <w:t>пального нормативного правового акта)</w:t>
            </w:r>
          </w:p>
        </w:tc>
        <w:tc>
          <w:tcPr>
            <w:tcW w:type="dxa" w:w="2368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7.4. Количественная оценка, млн рублей</w:t>
            </w: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D000000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лица, являющиеся правообладателями НТО,по состояюнию на 1.08.2026 количественная оценка таких объектов насчитывает 92 объекта.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E000000">
            <w:pPr>
              <w:widowControl w:val="1"/>
              <w:tabs>
                <w:tab w:leader="none" w:pos="142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Проектом МНПА предусматриваются положения, которыми изменяются содержание обязанностей и условий для потенциальных адресатов</w:t>
            </w:r>
          </w:p>
        </w:tc>
        <w:tc>
          <w:tcPr>
            <w:tcW w:type="dxa" w:w="2368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F000000">
            <w:pPr>
              <w:rPr>
                <w:sz w:val="24"/>
              </w:rPr>
            </w:pPr>
            <w:r>
              <w:rPr>
                <w:sz w:val="24"/>
              </w:rPr>
              <w:t>Не предполагаются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0000000">
            <w:pPr>
              <w:rPr>
                <w:sz w:val="24"/>
              </w:rPr>
            </w:pPr>
            <w:r>
              <w:rPr>
                <w:sz w:val="24"/>
              </w:rPr>
              <w:t xml:space="preserve">Не требуется </w:t>
            </w:r>
            <w:r>
              <w:rPr>
                <w:sz w:val="24"/>
              </w:rPr>
              <w:t xml:space="preserve">    </w:t>
            </w:r>
          </w:p>
        </w:tc>
      </w:tr>
      <w:tr>
        <w:tc>
          <w:tcPr>
            <w:tcW w:type="dxa" w:w="9397"/>
            <w:gridSpan w:val="17"/>
          </w:tcPr>
          <w:p w14:paraId="A1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A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7.5. Изд</w:t>
            </w:r>
            <w:r>
              <w:rPr>
                <w:sz w:val="28"/>
              </w:rPr>
              <w:t>ержки и выгоды адресатов предлагаемого правового регулирования, не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поддающиеся количественной оценке:</w:t>
            </w:r>
          </w:p>
          <w:p w14:paraId="A3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  <w:p w14:paraId="A4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A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7.6. Источники данных:</w:t>
            </w:r>
          </w:p>
          <w:p w14:paraId="A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  <w:tr>
        <w:tc>
          <w:tcPr>
            <w:tcW w:type="dxa" w:w="9397"/>
            <w:gridSpan w:val="17"/>
          </w:tcPr>
          <w:p w14:paraId="A7000000">
            <w:pPr>
              <w:widowControl w:val="1"/>
              <w:ind/>
              <w:jc w:val="both"/>
              <w:rPr>
                <w:sz w:val="28"/>
              </w:rPr>
            </w:pPr>
          </w:p>
          <w:p w14:paraId="A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9397"/>
            <w:gridSpan w:val="17"/>
          </w:tcPr>
          <w:p w14:paraId="A9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35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A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A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8.3. Методы контроля рисков</w:t>
            </w:r>
          </w:p>
        </w:tc>
        <w:tc>
          <w:tcPr>
            <w:tcW w:type="dxa" w:w="34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center"/>
          </w:tcPr>
          <w:p w14:paraId="A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8.4. Степень контроля рисков (полный / частичный / отсутствует)</w:t>
            </w:r>
          </w:p>
          <w:p w14:paraId="AE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rPr/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35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34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397"/>
            <w:gridSpan w:val="17"/>
          </w:tcPr>
          <w:p w14:paraId="B3000000">
            <w:pPr>
              <w:widowControl w:val="1"/>
              <w:ind/>
              <w:jc w:val="both"/>
              <w:rPr>
                <w:sz w:val="28"/>
              </w:rPr>
            </w:pPr>
          </w:p>
          <w:p w14:paraId="B4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9. Сравнение возможных вариантов реше</w:t>
            </w:r>
            <w:r>
              <w:rPr>
                <w:b w:val="1"/>
                <w:sz w:val="28"/>
              </w:rPr>
              <w:t>ния проблемы: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500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3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9000000">
            <w:pPr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  <w:r>
              <w:rPr>
                <w:sz w:val="24"/>
              </w:rPr>
              <w:t>:</w:t>
            </w:r>
          </w:p>
          <w:p w14:paraId="BA000000">
            <w:pPr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z w:val="24"/>
              </w:rPr>
              <w:t xml:space="preserve"> постановления администрации муниципального образования Северский муниципальный район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Об утверждении архитектурных требований и типов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ых архитектурных решений внешнего вида нестационарных торговых объектов на территории муниципального образования Северский муниципальный район Краснодарского края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Принятие муниципального нормативного п</w:t>
            </w:r>
            <w:r>
              <w:rPr>
                <w:sz w:val="24"/>
              </w:rPr>
              <w:t>равового акта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Непринятие муниципального нормативного правового акта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E000000">
            <w:pPr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F000000">
            <w:pPr>
              <w:rPr>
                <w:sz w:val="24"/>
              </w:rPr>
            </w:pPr>
            <w:r>
              <w:rPr>
                <w:sz w:val="24"/>
              </w:rPr>
              <w:t>Не установлена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2000000">
            <w:pPr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Дополнительные расходы не требуются 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 расходы не требуются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6000000">
            <w:pPr>
              <w:rPr>
                <w:sz w:val="24"/>
              </w:rPr>
            </w:pPr>
            <w:r>
              <w:rPr>
                <w:sz w:val="24"/>
              </w:rPr>
              <w:t>9.4. Оценка расходов (доходов) местного бюджета (бюджета муниципального образования Северский муниципальный район Краснодарского края, связанных с введением предлагаемого правового регулирования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A000000">
            <w:pPr>
              <w:rPr>
                <w:sz w:val="24"/>
              </w:rPr>
            </w:pPr>
            <w:r>
              <w:rPr>
                <w:sz w:val="24"/>
              </w:rPr>
              <w:t>9.5. Оценка возможности достижения заявленных целей регулирования (</w:t>
            </w:r>
            <w:r>
              <w:rPr>
                <w:rStyle w:val="Style_8_ch"/>
                <w:color w:val="106BBE"/>
                <w:sz w:val="24"/>
              </w:rPr>
              <w:fldChar w:fldCharType="begin"/>
            </w:r>
            <w:r>
              <w:rPr>
                <w:rStyle w:val="Style_8_ch"/>
                <w:color w:val="106BBE"/>
                <w:sz w:val="24"/>
              </w:rPr>
              <w:instrText>HYPERLINK \l "sub_10003"</w:instrText>
            </w:r>
            <w:r>
              <w:rPr>
                <w:rStyle w:val="Style_8_ch"/>
                <w:color w:val="106BBE"/>
                <w:sz w:val="24"/>
              </w:rPr>
              <w:fldChar w:fldCharType="separate"/>
            </w:r>
            <w:r>
              <w:rPr>
                <w:rStyle w:val="Style_8_ch"/>
                <w:color w:val="106BBE"/>
                <w:sz w:val="24"/>
              </w:rPr>
              <w:t>пункт 3</w:t>
            </w:r>
            <w:r>
              <w:rPr>
                <w:rStyle w:val="Style_8_ch"/>
                <w:color w:val="106BBE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Предполагаем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я цель будет достигнута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Предполагаемая цель не будет достигнута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rPr/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E000000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.6. Оценка рисков неблагоприятных последствий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9397"/>
            <w:gridSpan w:val="17"/>
          </w:tcPr>
          <w:p w14:paraId="D2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D3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9.7. Обоснование выбора предпочтительного варианта решения выявленной проблемы: </w:t>
            </w:r>
          </w:p>
          <w:p w14:paraId="D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</w:t>
            </w:r>
            <w:r>
              <w:rPr>
                <w:sz w:val="28"/>
              </w:rPr>
              <w:t>.</w:t>
            </w:r>
          </w:p>
          <w:p w14:paraId="D5000000">
            <w:pPr>
              <w:widowControl w:val="1"/>
              <w:ind w:firstLine="888"/>
              <w:jc w:val="both"/>
              <w:rPr>
                <w:sz w:val="28"/>
              </w:rPr>
            </w:pPr>
          </w:p>
          <w:p w14:paraId="D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9.8. Детальное описание предлагаемого варианта решения проблемы:</w:t>
            </w:r>
          </w:p>
          <w:p w14:paraId="D7000000">
            <w:pPr>
              <w:widowControl w:val="1"/>
              <w:ind w:firstLine="850" w:left="0"/>
              <w:jc w:val="both"/>
              <w:rPr>
                <w:sz w:val="28"/>
              </w:rPr>
            </w:pPr>
            <w:r>
              <w:rPr>
                <w:sz w:val="28"/>
              </w:rPr>
              <w:t>Упорядочить внешний вид НТО.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становить единые архитектурные требования (габариты, материалы, цвета, оформление элементов) и закрепить типовые решения, чтобы новые объекты гармонично вписывались в окружающую застройку и не создавали визуальной дисгармонии.</w:t>
            </w:r>
          </w:p>
          <w:p w14:paraId="D8000000">
            <w:pPr>
              <w:widowControl w:val="1"/>
              <w:ind w:firstLine="850" w:left="0"/>
              <w:jc w:val="both"/>
              <w:rPr>
                <w:sz w:val="28"/>
              </w:rPr>
            </w:pPr>
            <w:r>
              <w:rPr>
                <w:sz w:val="28"/>
              </w:rPr>
              <w:t>Обеспечить единство стиля территории.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Добиться целостного,</w:t>
            </w:r>
            <w:r>
              <w:rPr>
                <w:sz w:val="28"/>
              </w:rPr>
              <w:t>привлекательного облика торговых зон, улиц или площадей, где размещаются нестационарные объекты, за счёт согласованности решений.</w:t>
            </w:r>
          </w:p>
          <w:p w14:paraId="D9000000">
            <w:pPr>
              <w:widowControl w:val="1"/>
              <w:ind w:firstLine="850" w:left="0"/>
              <w:jc w:val="both"/>
              <w:rPr>
                <w:sz w:val="28"/>
              </w:rPr>
            </w:pPr>
            <w:r>
              <w:rPr>
                <w:sz w:val="28"/>
              </w:rPr>
              <w:t>Создать прозрачные правила для предпринимателей.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Чётко зафиксировать критерии, которым должны со</w:t>
            </w:r>
            <w:r>
              <w:rPr>
                <w:sz w:val="28"/>
              </w:rPr>
              <w:t>ответствовать НТО, чтобы у бизнеса были понятные ориентиры при проектировании и размещении, а у контролирующих органов — однозначные основания для оценки</w:t>
            </w:r>
            <w:r>
              <w:rPr>
                <w:sz w:val="28"/>
              </w:rPr>
              <w:t>.</w:t>
            </w:r>
          </w:p>
          <w:p w14:paraId="DA000000">
            <w:pPr>
              <w:widowControl w:val="1"/>
              <w:ind w:firstLine="746"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D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10.1.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сентябрь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>
        <w:tc>
          <w:tcPr>
            <w:tcW w:type="dxa" w:w="9397"/>
            <w:gridSpan w:val="17"/>
            <w:tcBorders>
              <w:bottom w:color="000000" w:sz="4" w:val="single"/>
            </w:tcBorders>
          </w:tcPr>
          <w:p w14:paraId="DC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D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10.2. Необходимость установления перехо</w:t>
            </w:r>
            <w:r>
              <w:rPr>
                <w:sz w:val="28"/>
              </w:rPr>
              <w:t xml:space="preserve">дного периода и (или) отсрочки введения предлагаемого правового регулирования: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</w:p>
          <w:p w14:paraId="DE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329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а) срок переходного периода:</w:t>
            </w:r>
          </w:p>
        </w:tc>
        <w:tc>
          <w:tcPr>
            <w:tcW w:type="dxa" w:w="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type="dxa" w:w="5770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дней с даты принятия проекта</w:t>
            </w:r>
          </w:p>
        </w:tc>
      </w:tr>
      <w:tr>
        <w:tc>
          <w:tcPr>
            <w:tcW w:type="dxa" w:w="9397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нормативного правового акта;</w:t>
            </w:r>
          </w:p>
        </w:tc>
      </w:tr>
      <w:tr>
        <w:tc>
          <w:tcPr>
            <w:tcW w:type="dxa" w:w="7251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б) отсрочка введения предлагаемого правового регулирования:</w:t>
            </w:r>
          </w:p>
        </w:tc>
        <w:tc>
          <w:tcPr>
            <w:tcW w:type="dxa" w:w="10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дней</w:t>
            </w:r>
          </w:p>
        </w:tc>
      </w:tr>
      <w:tr>
        <w:tc>
          <w:tcPr>
            <w:tcW w:type="dxa" w:w="9397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397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нет.</w:t>
            </w:r>
          </w:p>
        </w:tc>
      </w:tr>
      <w:tr>
        <w:tc>
          <w:tcPr>
            <w:tcW w:type="dxa" w:w="7251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10.3.1. Период распространения на ранее возникшие отношения:</w:t>
            </w:r>
          </w:p>
        </w:tc>
        <w:tc>
          <w:tcPr>
            <w:tcW w:type="dxa" w:w="10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1"/>
              <w:ind/>
              <w:jc w:val="both"/>
              <w:rPr>
                <w:sz w:val="28"/>
                <w:u w:val="single"/>
              </w:rPr>
            </w:pPr>
            <w:r>
              <w:rPr>
                <w:sz w:val="28"/>
              </w:rPr>
              <w:t xml:space="preserve">   </w:t>
            </w:r>
            <w:r>
              <w:rPr>
                <w:sz w:val="28"/>
                <w:u w:val="single"/>
              </w:rPr>
              <w:t xml:space="preserve"> 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дней</w:t>
            </w:r>
          </w:p>
        </w:tc>
      </w:tr>
      <w:tr>
        <w:tc>
          <w:tcPr>
            <w:tcW w:type="dxa" w:w="9397"/>
            <w:gridSpan w:val="17"/>
            <w:tcBorders>
              <w:top w:color="000000" w:sz="4" w:val="single"/>
            </w:tcBorders>
          </w:tcPr>
          <w:p w14:paraId="EB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 даты принятия проекта муниципального нормативного правового акта.</w:t>
            </w:r>
          </w:p>
          <w:p w14:paraId="EC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397"/>
            <w:gridSpan w:val="17"/>
          </w:tcPr>
          <w:p w14:paraId="E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возникшие отношения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 требуется</w:t>
            </w:r>
          </w:p>
        </w:tc>
      </w:tr>
      <w:tr>
        <w:tc>
          <w:tcPr>
            <w:tcW w:type="dxa" w:w="2776"/>
            <w:gridSpan w:val="3"/>
          </w:tcPr>
          <w:p w14:paraId="EE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6621"/>
            <w:gridSpan w:val="14"/>
          </w:tcPr>
          <w:p w14:paraId="EF000000">
            <w:pPr>
              <w:rPr>
                <w:sz w:val="28"/>
              </w:rPr>
            </w:pPr>
          </w:p>
        </w:tc>
      </w:tr>
      <w:tr>
        <w:tc>
          <w:tcPr>
            <w:tcW w:type="dxa" w:w="4552"/>
            <w:gridSpan w:val="7"/>
          </w:tcPr>
          <w:p w14:paraId="F0000000">
            <w:pPr>
              <w:rPr>
                <w:sz w:val="28"/>
              </w:rPr>
            </w:pPr>
          </w:p>
          <w:p w14:paraId="F1000000">
            <w:pPr>
              <w:rPr>
                <w:sz w:val="28"/>
              </w:rPr>
            </w:pPr>
            <w:r>
              <w:rPr>
                <w:sz w:val="28"/>
              </w:rPr>
              <w:t>Заместитель начальника управления архитектуры</w:t>
            </w:r>
          </w:p>
        </w:tc>
        <w:tc>
          <w:tcPr>
            <w:tcW w:type="dxa" w:w="4845"/>
            <w:gridSpan w:val="10"/>
          </w:tcPr>
          <w:p w14:paraId="F2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  <w:tcBorders>
              <w:bottom w:color="000000" w:sz="1" w:val="single"/>
            </w:tcBorders>
          </w:tcPr>
          <w:p w14:paraId="F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Е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Коперская</w:t>
            </w:r>
          </w:p>
        </w:tc>
        <w:tc>
          <w:tcPr>
            <w:tcW w:type="dxa" w:w="1776"/>
            <w:gridSpan w:val="4"/>
          </w:tcPr>
          <w:p w14:paraId="F4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999"/>
            <w:gridSpan w:val="4"/>
            <w:tcBorders>
              <w:bottom w:color="000000" w:sz="1" w:val="single"/>
            </w:tcBorders>
          </w:tcPr>
          <w:p w14:paraId="F5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z w:val="28"/>
              </w:rPr>
              <w:t>.0</w:t>
            </w:r>
            <w:r>
              <w:rPr>
                <w:sz w:val="28"/>
              </w:rPr>
              <w:t>8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26</w:t>
            </w:r>
          </w:p>
        </w:tc>
        <w:tc>
          <w:tcPr>
            <w:tcW w:type="dxa" w:w="236"/>
          </w:tcPr>
          <w:p w14:paraId="F6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610"/>
            <w:gridSpan w:val="5"/>
            <w:tcBorders>
              <w:bottom w:color="000000" w:sz="1" w:val="single"/>
            </w:tcBorders>
          </w:tcPr>
          <w:p w14:paraId="F7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</w:tcPr>
          <w:p w14:paraId="F8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(инициалы, фамилия)</w:t>
            </w:r>
          </w:p>
        </w:tc>
        <w:tc>
          <w:tcPr>
            <w:tcW w:type="dxa" w:w="1776"/>
            <w:gridSpan w:val="4"/>
          </w:tcPr>
          <w:p w14:paraId="F9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999"/>
            <w:gridSpan w:val="4"/>
          </w:tcPr>
          <w:p w14:paraId="FA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type="dxa" w:w="236"/>
          </w:tcPr>
          <w:p w14:paraId="FB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610"/>
            <w:gridSpan w:val="5"/>
          </w:tcPr>
          <w:p w14:paraId="F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</w:tr>
    </w:tbl>
    <w:p w14:paraId="FD000000">
      <w:pPr>
        <w:rPr>
          <w:sz w:val="28"/>
        </w:rPr>
      </w:pPr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pgSz w:h="16838" w:orient="portrait" w:w="11906"/>
      <w:pgMar w:bottom="1134" w:footer="720" w:gutter="0" w:header="1134" w:left="1134" w:right="1134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3"/>
      <w:suff w:val="nothing"/>
      <w:lvlJc w:val="left"/>
      <w:pPr>
        <w:widowControl w:val="1"/>
        <w:tabs>
          <w:tab w:leader="none" w:pos="0" w:val="left"/>
        </w:tabs>
        <w:ind w:hanging="432" w:left="432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pStyle w:val="Style_48"/>
      <w:suff w:val="nothing"/>
      <w:lvlJc w:val="left"/>
      <w:pPr>
        <w:widowControl w:val="1"/>
        <w:tabs>
          <w:tab w:leader="none" w:pos="0" w:val="left"/>
        </w:tabs>
        <w:ind w:hanging="1152" w:left="1152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9" w:type="paragraph">
    <w:name w:val="Гипертекстовая ссылка"/>
    <w:link w:val="Style_9_ch"/>
    <w:rPr>
      <w:b w:val="1"/>
      <w:color w:val="008000"/>
    </w:rPr>
  </w:style>
  <w:style w:styleId="Style_9_ch" w:type="character">
    <w:name w:val="Гипертекстовая ссылка"/>
    <w:link w:val="Style_9"/>
    <w:rPr>
      <w:b w:val="1"/>
      <w:color w:val="008000"/>
    </w:rPr>
  </w:style>
  <w:style w:styleId="Style_10" w:type="paragraph">
    <w:name w:val="toc 2"/>
    <w:next w:val="Style_5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5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6" w:type="paragraph">
    <w:name w:val="Normal (Web)"/>
    <w:basedOn w:val="Style_5"/>
    <w:link w:val="Style_6_ch"/>
    <w:pPr>
      <w:widowControl w:val="1"/>
      <w:spacing w:after="119" w:before="28" w:line="100" w:lineRule="atLeast"/>
      <w:ind/>
    </w:pPr>
  </w:style>
  <w:style w:styleId="Style_6_ch" w:type="character">
    <w:name w:val="Normal (Web)"/>
    <w:basedOn w:val="Style_5_ch"/>
    <w:link w:val="Style_6"/>
  </w:style>
  <w:style w:styleId="Style_7" w:type="paragraph">
    <w:name w:val="ConsPlusNormal"/>
    <w:link w:val="Style_7_ch"/>
    <w:rPr>
      <w:sz w:val="28"/>
    </w:rPr>
  </w:style>
  <w:style w:styleId="Style_7_ch" w:type="character">
    <w:name w:val="ConsPlusNormal"/>
    <w:link w:val="Style_7"/>
    <w:rPr>
      <w:sz w:val="28"/>
    </w:rPr>
  </w:style>
  <w:style w:styleId="Style_14" w:type="paragraph">
    <w:name w:val="Название1"/>
    <w:basedOn w:val="Style_5"/>
    <w:link w:val="Style_14_ch"/>
    <w:pPr>
      <w:widowControl w:val="1"/>
      <w:spacing w:after="120" w:before="120"/>
      <w:ind/>
    </w:pPr>
    <w:rPr>
      <w:i w:val="1"/>
      <w:sz w:val="24"/>
    </w:rPr>
  </w:style>
  <w:style w:styleId="Style_14_ch" w:type="character">
    <w:name w:val="Название1"/>
    <w:basedOn w:val="Style_5_ch"/>
    <w:link w:val="Style_14"/>
    <w:rPr>
      <w:i w:val="1"/>
      <w:sz w:val="24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5"/>
    <w:next w:val="Style_5"/>
    <w:link w:val="Style_16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6_ch" w:type="character">
    <w:name w:val="heading 3"/>
    <w:basedOn w:val="Style_5_ch"/>
    <w:link w:val="Style_16"/>
    <w:rPr>
      <w:rFonts w:ascii="Calibri Light" w:hAnsi="Calibri Light"/>
      <w:b w:val="1"/>
      <w:sz w:val="26"/>
    </w:rPr>
  </w:style>
  <w:style w:styleId="Style_17" w:type="paragraph">
    <w:name w:val=".FORMATTEXT"/>
    <w:link w:val="Style_17_ch"/>
    <w:pPr>
      <w:widowControl w:val="0"/>
      <w:ind/>
    </w:pPr>
    <w:rPr>
      <w:rFonts w:ascii="Arial" w:hAnsi="Arial"/>
    </w:rPr>
  </w:style>
  <w:style w:styleId="Style_17_ch" w:type="character">
    <w:name w:val=".FORMATTEXT"/>
    <w:link w:val="Style_17"/>
    <w:rPr>
      <w:rFonts w:ascii="Arial" w:hAnsi="Arial"/>
    </w:rPr>
  </w:style>
  <w:style w:styleId="Style_18" w:type="paragraph">
    <w:name w:val="Body Text"/>
    <w:basedOn w:val="Style_5"/>
    <w:link w:val="Style_18_ch"/>
    <w:pPr>
      <w:widowControl w:val="1"/>
      <w:spacing w:after="120" w:before="0"/>
      <w:ind/>
    </w:pPr>
  </w:style>
  <w:style w:styleId="Style_18_ch" w:type="character">
    <w:name w:val="Body Text"/>
    <w:basedOn w:val="Style_5_ch"/>
    <w:link w:val="Style_18"/>
  </w:style>
  <w:style w:styleId="Style_19" w:type="paragraph">
    <w:name w:val="List Paragraph"/>
    <w:basedOn w:val="Style_5"/>
    <w:link w:val="Style_19_ch"/>
    <w:pPr>
      <w:widowControl w:val="1"/>
      <w:ind w:left="720"/>
      <w:contextualSpacing w:val="1"/>
    </w:pPr>
    <w:rPr>
      <w:rFonts w:ascii="Arial" w:hAnsi="Arial"/>
      <w:sz w:val="26"/>
    </w:rPr>
  </w:style>
  <w:style w:styleId="Style_19_ch" w:type="character">
    <w:name w:val="List Paragraph"/>
    <w:basedOn w:val="Style_5_ch"/>
    <w:link w:val="Style_19"/>
    <w:rPr>
      <w:rFonts w:ascii="Arial" w:hAnsi="Arial"/>
      <w:sz w:val="26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headertext"/>
    <w:basedOn w:val="Style_5"/>
    <w:link w:val="Style_21_ch"/>
    <w:pPr>
      <w:widowControl w:val="1"/>
      <w:spacing w:afterAutospacing="on" w:beforeAutospacing="on"/>
      <w:ind/>
    </w:pPr>
  </w:style>
  <w:style w:styleId="Style_21_ch" w:type="character">
    <w:name w:val="headertext"/>
    <w:basedOn w:val="Style_5_ch"/>
    <w:link w:val="Style_21"/>
  </w:style>
  <w:style w:styleId="Style_22" w:type="paragraph">
    <w:name w:val="Содержимое таблицы"/>
    <w:basedOn w:val="Style_5"/>
    <w:link w:val="Style_22_ch"/>
  </w:style>
  <w:style w:styleId="Style_22_ch" w:type="character">
    <w:name w:val="Содержимое таблицы"/>
    <w:basedOn w:val="Style_5_ch"/>
    <w:link w:val="Style_22"/>
  </w:style>
  <w:style w:styleId="Style_23" w:type="paragraph">
    <w:name w:val="Название2"/>
    <w:basedOn w:val="Style_5"/>
    <w:link w:val="Style_23_ch"/>
    <w:pPr>
      <w:widowControl w:val="1"/>
      <w:spacing w:after="120" w:before="120"/>
      <w:ind/>
    </w:pPr>
    <w:rPr>
      <w:i w:val="1"/>
      <w:sz w:val="24"/>
    </w:rPr>
  </w:style>
  <w:style w:styleId="Style_23_ch" w:type="character">
    <w:name w:val="Название2"/>
    <w:basedOn w:val="Style_5_ch"/>
    <w:link w:val="Style_23"/>
    <w:rPr>
      <w:i w:val="1"/>
      <w:sz w:val="24"/>
    </w:rPr>
  </w:style>
  <w:style w:styleId="Style_24" w:type="paragraph">
    <w:name w:val="List"/>
    <w:basedOn w:val="Style_18"/>
    <w:link w:val="Style_24_ch"/>
  </w:style>
  <w:style w:styleId="Style_24_ch" w:type="character">
    <w:name w:val="List"/>
    <w:basedOn w:val="Style_18_ch"/>
    <w:link w:val="Style_24"/>
  </w:style>
  <w:style w:styleId="Style_25" w:type="paragraph">
    <w:name w:val="toc 3"/>
    <w:next w:val="Style_5"/>
    <w:link w:val="Style_2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Прижатый влево"/>
    <w:basedOn w:val="Style_5"/>
    <w:next w:val="Style_5"/>
    <w:link w:val="Style_27_ch"/>
    <w:pPr>
      <w:widowControl w:val="1"/>
      <w:ind/>
    </w:pPr>
    <w:rPr>
      <w:rFonts w:ascii="Cambria Math" w:hAnsi="Cambria Math"/>
    </w:rPr>
  </w:style>
  <w:style w:styleId="Style_27_ch" w:type="character">
    <w:name w:val="Прижатый влево"/>
    <w:basedOn w:val="Style_5_ch"/>
    <w:link w:val="Style_27"/>
    <w:rPr>
      <w:rFonts w:ascii="Cambria Math" w:hAnsi="Cambria Math"/>
    </w:rPr>
  </w:style>
  <w:style w:styleId="Style_28" w:type="paragraph">
    <w:name w:val="Верхний колонтитул Знак"/>
    <w:link w:val="Style_28_ch"/>
    <w:rPr>
      <w:sz w:val="24"/>
    </w:rPr>
  </w:style>
  <w:style w:styleId="Style_28_ch" w:type="character">
    <w:name w:val="Верхний колонтитул Знак"/>
    <w:link w:val="Style_28"/>
    <w:rPr>
      <w:sz w:val="24"/>
    </w:rPr>
  </w:style>
  <w:style w:styleId="Style_29" w:type="paragraph">
    <w:name w:val="heading 5"/>
    <w:next w:val="Style_5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" w:type="paragraph">
    <w:name w:val="heading 1"/>
    <w:basedOn w:val="Style_5"/>
    <w:next w:val="Style_5"/>
    <w:link w:val="Style_3_ch"/>
    <w:uiPriority w:val="9"/>
    <w:qFormat/>
    <w:pPr>
      <w:widowControl w:val="1"/>
      <w:numPr>
        <w:ilvl w:val="0"/>
        <w:numId w:val="1"/>
      </w:numPr>
      <w:spacing w:after="108" w:before="108"/>
      <w:ind/>
      <w:jc w:val="center"/>
      <w:outlineLvl w:val="0"/>
    </w:pPr>
    <w:rPr>
      <w:rFonts w:ascii="Arial" w:hAnsi="Arial"/>
      <w:b w:val="1"/>
      <w:color w:val="26282F"/>
    </w:rPr>
  </w:style>
  <w:style w:styleId="Style_3_ch" w:type="character">
    <w:name w:val="heading 1"/>
    <w:basedOn w:val="Style_5_ch"/>
    <w:link w:val="Style_3"/>
    <w:rPr>
      <w:rFonts w:ascii="Arial" w:hAnsi="Arial"/>
      <w:b w:val="1"/>
      <w:color w:val="26282F"/>
    </w:rPr>
  </w:style>
  <w:style w:styleId="Style_30" w:type="paragraph">
    <w:name w:val="Указатель2"/>
    <w:basedOn w:val="Style_5"/>
    <w:link w:val="Style_30_ch"/>
  </w:style>
  <w:style w:styleId="Style_30_ch" w:type="character">
    <w:name w:val="Указатель2"/>
    <w:basedOn w:val="Style_5_ch"/>
    <w:link w:val="Style_30"/>
  </w:style>
  <w:style w:styleId="Style_31" w:type="paragraph">
    <w:name w:val="Основной текст 31"/>
    <w:basedOn w:val="Style_5"/>
    <w:link w:val="Style_31_ch"/>
    <w:pPr>
      <w:widowControl w:val="1"/>
      <w:ind/>
      <w:jc w:val="center"/>
    </w:pPr>
    <w:rPr>
      <w:sz w:val="28"/>
    </w:rPr>
  </w:style>
  <w:style w:styleId="Style_31_ch" w:type="character">
    <w:name w:val="Основной текст 31"/>
    <w:basedOn w:val="Style_5_ch"/>
    <w:link w:val="Style_31"/>
    <w:rPr>
      <w:sz w:val="28"/>
    </w:rPr>
  </w:style>
  <w:style w:styleId="Style_8" w:type="paragraph">
    <w:name w:val="Hyperlink"/>
    <w:link w:val="Style_8_ch"/>
    <w:rPr>
      <w:color w:val="000080"/>
      <w:u w:val="single"/>
    </w:rPr>
  </w:style>
  <w:style w:styleId="Style_8_ch" w:type="character">
    <w:name w:val="Hyperlink"/>
    <w:link w:val="Style_8"/>
    <w:rPr>
      <w:color w:val="000080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toc 1"/>
    <w:next w:val="Style_5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5" w:type="paragraph">
    <w:name w:val="footer"/>
    <w:basedOn w:val="Style_5"/>
    <w:link w:val="Style_35_ch"/>
    <w:pPr>
      <w:widowControl w:val="1"/>
      <w:tabs>
        <w:tab w:leader="none" w:pos="4819" w:val="center"/>
        <w:tab w:leader="none" w:pos="9638" w:val="right"/>
      </w:tabs>
      <w:ind/>
    </w:pPr>
  </w:style>
  <w:style w:styleId="Style_35_ch" w:type="character">
    <w:name w:val="footer"/>
    <w:basedOn w:val="Style_5_ch"/>
    <w:link w:val="Style_35"/>
  </w:style>
  <w:style w:styleId="Style_36" w:type="paragraph">
    <w:name w:val="Заголовок таблицы"/>
    <w:basedOn w:val="Style_22"/>
    <w:link w:val="Style_36_ch"/>
    <w:pPr>
      <w:widowControl w:val="1"/>
      <w:ind/>
      <w:jc w:val="center"/>
    </w:pPr>
    <w:rPr>
      <w:b w:val="1"/>
    </w:rPr>
  </w:style>
  <w:style w:styleId="Style_36_ch" w:type="character">
    <w:name w:val="Заголовок таблицы"/>
    <w:basedOn w:val="Style_22_ch"/>
    <w:link w:val="Style_36"/>
    <w:rPr>
      <w:b w:val="1"/>
    </w:rPr>
  </w:style>
  <w:style w:styleId="Style_37" w:type="paragraph">
    <w:name w:val="toc 9"/>
    <w:next w:val="Style_5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toc 8"/>
    <w:next w:val="Style_5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Нормальный (таблица)"/>
    <w:basedOn w:val="Style_5"/>
    <w:next w:val="Style_5"/>
    <w:link w:val="Style_39_ch"/>
    <w:pPr>
      <w:widowControl w:val="0"/>
      <w:ind/>
      <w:jc w:val="both"/>
    </w:pPr>
    <w:rPr>
      <w:rFonts w:ascii="Arial" w:hAnsi="Arial"/>
    </w:rPr>
  </w:style>
  <w:style w:styleId="Style_39_ch" w:type="character">
    <w:name w:val="Нормальный (таблица)"/>
    <w:basedOn w:val="Style_5_ch"/>
    <w:link w:val="Style_39"/>
    <w:rPr>
      <w:rFonts w:ascii="Arial" w:hAnsi="Arial"/>
    </w:rPr>
  </w:style>
  <w:style w:styleId="Style_40" w:type="paragraph">
    <w:name w:val="toc 5"/>
    <w:next w:val="Style_5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818" w:val="center"/>
        <w:tab w:leader="none" w:pos="9637" w:val="right"/>
      </w:tabs>
      <w:ind/>
    </w:pPr>
  </w:style>
  <w:style w:styleId="Style_1_ch" w:type="character">
    <w:name w:val="header"/>
    <w:basedOn w:val="Style_5_ch"/>
    <w:link w:val="Style_1"/>
  </w:style>
  <w:style w:styleId="Style_41" w:type="paragraph">
    <w:name w:val="Hashtag"/>
    <w:link w:val="Style_41_ch"/>
    <w:rPr>
      <w:color w:val="605E5C"/>
      <w:shd w:fill="E1DFDD" w:val="clear"/>
    </w:rPr>
  </w:style>
  <w:style w:styleId="Style_41_ch" w:type="character">
    <w:name w:val="Hashtag"/>
    <w:link w:val="Style_41"/>
    <w:rPr>
      <w:color w:val="605E5C"/>
      <w:shd w:fill="E1DFDD" w:val="clear"/>
    </w:rPr>
  </w:style>
  <w:style w:styleId="Style_42" w:type="paragraph">
    <w:name w:val="spfo1"/>
    <w:link w:val="Style_42_ch"/>
  </w:style>
  <w:style w:styleId="Style_42_ch" w:type="character">
    <w:name w:val="spfo1"/>
    <w:link w:val="Style_42"/>
  </w:style>
  <w:style w:styleId="Style_43" w:type="paragraph">
    <w:name w:val="Указатель1"/>
    <w:basedOn w:val="Style_5"/>
    <w:link w:val="Style_43_ch"/>
  </w:style>
  <w:style w:styleId="Style_43_ch" w:type="character">
    <w:name w:val="Указатель1"/>
    <w:basedOn w:val="Style_5_ch"/>
    <w:link w:val="Style_43"/>
  </w:style>
  <w:style w:styleId="Style_44" w:type="paragraph">
    <w:name w:val="Subtitle"/>
    <w:next w:val="Style_5"/>
    <w:link w:val="Style_4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4_ch" w:type="character">
    <w:name w:val="Subtitle"/>
    <w:link w:val="Style_44"/>
    <w:rPr>
      <w:rFonts w:ascii="XO Thames" w:hAnsi="XO Thames"/>
      <w:i w:val="1"/>
      <w:sz w:val="24"/>
    </w:rPr>
  </w:style>
  <w:style w:styleId="Style_45" w:type="paragraph">
    <w:name w:val="Title"/>
    <w:basedOn w:val="Style_5"/>
    <w:next w:val="Style_18"/>
    <w:link w:val="Style_45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5_ch" w:type="character">
    <w:name w:val="Title"/>
    <w:basedOn w:val="Style_5_ch"/>
    <w:link w:val="Style_45"/>
    <w:rPr>
      <w:rFonts w:ascii="Arial" w:hAnsi="Arial"/>
      <w:sz w:val="28"/>
    </w:rPr>
  </w:style>
  <w:style w:styleId="Style_46" w:type="paragraph">
    <w:name w:val="heading 4"/>
    <w:next w:val="Style_5"/>
    <w:link w:val="Style_4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47" w:type="paragraph">
    <w:name w:val="heading 2"/>
    <w:basedOn w:val="Style_5"/>
    <w:next w:val="Style_5"/>
    <w:link w:val="Style_47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7_ch" w:type="character">
    <w:name w:val="heading 2"/>
    <w:basedOn w:val="Style_5_ch"/>
    <w:link w:val="Style_47"/>
    <w:rPr>
      <w:rFonts w:ascii="Calibri Light" w:hAnsi="Calibri Light"/>
      <w:b w:val="1"/>
      <w:i w:val="1"/>
      <w:sz w:val="28"/>
    </w:rPr>
  </w:style>
  <w:style w:styleId="Style_48" w:type="paragraph">
    <w:name w:val="heading 6"/>
    <w:basedOn w:val="Style_5"/>
    <w:next w:val="Style_5"/>
    <w:link w:val="Style_48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8_ch" w:type="character">
    <w:name w:val="heading 6"/>
    <w:basedOn w:val="Style_5_ch"/>
    <w:link w:val="Style_48"/>
    <w:rPr>
      <w:rFonts w:ascii="Calibri" w:hAnsi="Calibri"/>
      <w:b w:val="1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2026-08-12T07:39:19Z</dcterms:created>
  <dcterms:modified xsi:type="dcterms:W3CDTF">2026-08-13T08:05:29Z</dcterms:modified>
</cp:coreProperties>
</file>